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56" w:rsidRPr="00143F56" w:rsidRDefault="00143F56" w:rsidP="00143F56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143F56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الخلاصة</w:t>
      </w:r>
      <w:r w:rsidRPr="00143F56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: </w:t>
      </w:r>
    </w:p>
    <w:p w:rsidR="00143F56" w:rsidRPr="00143F56" w:rsidRDefault="00143F56" w:rsidP="00143F5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>فيتامين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 B12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، 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B6 </w:t>
      </w:r>
      <w:r w:rsidRPr="00143F56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والفوليت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فيتامينات لذائبة  في الماء تفرز الزائدة منها في البول , ان زيادة تناول </w:t>
      </w:r>
      <w:r w:rsidRPr="00143F56">
        <w:rPr>
          <w:rFonts w:ascii="Times New Roman" w:hAnsi="Times New Roman" w:cs="Times New Roman" w:hint="cs"/>
          <w:sz w:val="32"/>
          <w:szCs w:val="32"/>
          <w:rtl/>
          <w:lang w:bidi="ar-IQ"/>
        </w:rPr>
        <w:t>ال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>فيتامين</w:t>
      </w:r>
      <w:r w:rsidRPr="00143F56">
        <w:rPr>
          <w:rFonts w:ascii="Times New Roman" w:hAnsi="Times New Roman" w:cs="Times New Roman" w:hint="cs"/>
          <w:sz w:val="32"/>
          <w:szCs w:val="32"/>
          <w:rtl/>
          <w:lang w:bidi="ar-IQ"/>
        </w:rPr>
        <w:t>ات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  <w:r w:rsidRPr="00143F56">
        <w:rPr>
          <w:rFonts w:ascii="Times New Roman" w:hAnsi="Times New Roman" w:cs="Times New Roman" w:hint="cs"/>
          <w:sz w:val="32"/>
          <w:szCs w:val="32"/>
          <w:rtl/>
          <w:lang w:bidi="ar-IQ"/>
        </w:rPr>
        <w:t>وجد لها تاثيرات فسلجية على وضائف الجسم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>،</w:t>
      </w:r>
    </w:p>
    <w:p w:rsidR="00143F56" w:rsidRPr="00143F56" w:rsidRDefault="00143F56" w:rsidP="000B5F32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>الهدف: أجريت هذه الدراسة للتحقيق في آثار الزائد الغذائي من فيتامين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 B6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>و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 B12 </w:t>
      </w:r>
      <w:r w:rsidRPr="00143F56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الفوليك اسيد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في الدم كمؤشرات </w:t>
      </w:r>
      <w:r w:rsidRPr="00143F56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للبروتين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في الدم، والدهون النافعة ، الكوليسترول والدهون الكلي</w:t>
      </w:r>
      <w:r w:rsidRPr="00143F56"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</w:p>
    <w:p w:rsidR="00143F56" w:rsidRPr="00143F56" w:rsidRDefault="00143F56" w:rsidP="00143F56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>تم العمل على مجموع 48 من الارانب في الدراسة. تم إعطاء محلول ملحي للمجموعات السيطرة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 (CG-10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، 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n = 8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>لمدة 10 أيام؛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 CG-15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، 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n = 8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>لمدة 15 يوما؛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 CG-20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، 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n = 8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>لمدة 20 يوما). وقد تلقت المجموعات التجريبية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 (EG-10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، 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>n = 8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>؛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 EG-15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، 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>n = 8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>؛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 EG-20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، 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n = 8) 5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>ملغم / كغم فيتامين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 B 6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، 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B 12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يوميا لمدة 10 أيام و 15 يوما و 20 يوما على التوالي. تم قياس ومقارنة </w:t>
      </w:r>
      <w:r w:rsidRPr="00143F56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البروتين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>الكلي في الدم ، و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 HDL</w:t>
      </w:r>
      <w:r w:rsidRPr="00143F56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الالبومين والكرياتينين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في مج</w:t>
      </w:r>
      <w:r w:rsidRPr="00143F56">
        <w:rPr>
          <w:rFonts w:ascii="Times New Roman" w:hAnsi="Times New Roman" w:cs="Times New Roman" w:hint="cs"/>
          <w:sz w:val="32"/>
          <w:szCs w:val="32"/>
          <w:rtl/>
          <w:lang w:bidi="ar-IQ"/>
        </w:rPr>
        <w:t>مو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عة السيطرة والتجريبية. النتائج: كانت مستويات </w:t>
      </w:r>
      <w:r w:rsidRPr="00143F56">
        <w:rPr>
          <w:rFonts w:ascii="Times New Roman" w:hAnsi="Times New Roman" w:cs="Times New Roman" w:hint="cs"/>
          <w:sz w:val="32"/>
          <w:szCs w:val="32"/>
          <w:rtl/>
          <w:lang w:bidi="ar-IQ"/>
        </w:rPr>
        <w:t>البروتين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الكلي في الدم أقل بشكل ملحوظ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 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>في جميع السيطرة.</w:t>
      </w:r>
      <w:r w:rsidRPr="00143F56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عن المجاميع التجريبية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وكانت مستويات </w:t>
      </w:r>
      <w:r w:rsidRPr="00143F56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الالبومين والكرياتينين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في مصل الدم أعلى في المجموعتين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 EG-15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>و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 CG-20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مقارنة بمجموعات </w:t>
      </w:r>
      <w:r w:rsidRPr="00143F56">
        <w:rPr>
          <w:rFonts w:ascii="Times New Roman" w:hAnsi="Times New Roman" w:cs="Times New Roman" w:hint="cs"/>
          <w:sz w:val="32"/>
          <w:szCs w:val="32"/>
          <w:rtl/>
          <w:lang w:bidi="ar-IQ"/>
        </w:rPr>
        <w:t>اخرى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. وبناء على هذه النتائج، </w:t>
      </w:r>
      <w:r w:rsidRPr="00143F56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ان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ومستويات </w:t>
      </w:r>
      <w:r w:rsidRPr="00143F56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المتغيرات الكيموحيوية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في المجموعتين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 CG-15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>و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  <w:r w:rsidRPr="00143F56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CG-20. </w:t>
      </w:r>
      <w:r w:rsidRPr="00143F56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 تاثرت بشكل ملحوظ بعد الزيادة بجرع الفيتامينات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>الاستنتاجات: الزائد من فيتامين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 B6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، 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B12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تناول </w:t>
      </w:r>
      <w:r w:rsidRPr="00143F56">
        <w:rPr>
          <w:rFonts w:ascii="Times New Roman" w:hAnsi="Times New Roman" w:cs="Times New Roman" w:hint="cs"/>
          <w:sz w:val="32"/>
          <w:szCs w:val="32"/>
          <w:rtl/>
          <w:lang w:bidi="ar-IQ"/>
        </w:rPr>
        <w:t>يؤثر في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مستويات </w:t>
      </w:r>
      <w:r w:rsidRPr="00143F56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البروتين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الكلي في الدم، ، وبالتالي، ينصح في خطة النظام غذائي ان يؤخذ </w:t>
      </w:r>
      <w:bookmarkStart w:id="0" w:name="_GoBack"/>
      <w:bookmarkEnd w:id="0"/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>بجرع دقيقة وضبط جرعة فيتامين</w:t>
      </w:r>
      <w:r w:rsidRPr="00143F56">
        <w:rPr>
          <w:rFonts w:ascii="Times New Roman" w:hAnsi="Times New Roman" w:cs="Times New Roman"/>
          <w:sz w:val="32"/>
          <w:szCs w:val="32"/>
          <w:lang w:bidi="ar-IQ"/>
        </w:rPr>
        <w:t xml:space="preserve"> B6 </w:t>
      </w:r>
      <w:r w:rsidRPr="00143F56">
        <w:rPr>
          <w:rFonts w:ascii="Times New Roman" w:hAnsi="Times New Roman" w:cs="Times New Roman"/>
          <w:sz w:val="32"/>
          <w:szCs w:val="32"/>
          <w:rtl/>
          <w:lang w:bidi="ar-IQ"/>
        </w:rPr>
        <w:t>في المرضى الذين يحتاجون هذا الفيتامين</w:t>
      </w:r>
      <w:r w:rsidRPr="00143F56"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</w:p>
    <w:sectPr w:rsidR="00143F56" w:rsidRPr="00143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01"/>
    <w:rsid w:val="00086305"/>
    <w:rsid w:val="000B5F32"/>
    <w:rsid w:val="00143F56"/>
    <w:rsid w:val="004D7BAA"/>
    <w:rsid w:val="008A7C1D"/>
    <w:rsid w:val="00EF5525"/>
    <w:rsid w:val="00F8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murtatha.ali</dc:creator>
  <cp:lastModifiedBy>murtatha.ali</cp:lastModifiedBy>
  <cp:revision>2</cp:revision>
  <dcterms:created xsi:type="dcterms:W3CDTF">2017-05-30T16:24:00Z</dcterms:created>
  <dcterms:modified xsi:type="dcterms:W3CDTF">2017-05-30T16:24:00Z</dcterms:modified>
</cp:coreProperties>
</file>